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2AA34" w14:textId="7FF2DBBA" w:rsidR="0041557D" w:rsidRDefault="0041557D" w:rsidP="0068150F">
      <w:pPr>
        <w:pStyle w:val="Sinespaciado"/>
        <w:rPr>
          <w:rFonts w:cs="Times New Roman"/>
          <w:b/>
          <w:sz w:val="22"/>
          <w:szCs w:val="24"/>
          <w:lang w:val="eu-ES" w:bidi="ar-SA"/>
        </w:rPr>
      </w:pPr>
      <w:r>
        <w:rPr>
          <w:rFonts w:cs="Times New Roman"/>
          <w:b/>
          <w:sz w:val="22"/>
          <w:szCs w:val="24"/>
          <w:lang w:val="eu-ES" w:bidi="ar-SA"/>
        </w:rPr>
        <w:t>4/2022 Akordioa, urtarrilaren 18koa</w:t>
      </w:r>
    </w:p>
    <w:p w14:paraId="7112FB71" w14:textId="77777777" w:rsidR="0041557D" w:rsidRDefault="0041557D" w:rsidP="0068150F">
      <w:pPr>
        <w:pStyle w:val="Sinespaciado"/>
        <w:rPr>
          <w:rFonts w:cs="Times New Roman"/>
          <w:b/>
          <w:sz w:val="22"/>
          <w:szCs w:val="24"/>
          <w:lang w:val="eu-ES" w:bidi="ar-SA"/>
        </w:rPr>
      </w:pPr>
    </w:p>
    <w:p w14:paraId="0CB53C62" w14:textId="62B21814" w:rsidR="008C3902" w:rsidRDefault="002E1843" w:rsidP="0068150F">
      <w:pPr>
        <w:pStyle w:val="Sinespaciado"/>
        <w:rPr>
          <w:rFonts w:cs="Times New Roman"/>
          <w:b/>
          <w:sz w:val="22"/>
          <w:szCs w:val="24"/>
          <w:lang w:val="eu-ES" w:bidi="ar-SA"/>
        </w:rPr>
      </w:pPr>
      <w:r>
        <w:rPr>
          <w:rFonts w:cs="Times New Roman"/>
          <w:b/>
          <w:sz w:val="22"/>
          <w:szCs w:val="24"/>
          <w:lang w:val="eu-ES" w:bidi="ar-SA"/>
        </w:rPr>
        <w:t>Fundación Vitoria-Gasteiz, Araba Mobility Lab Fundazioa eratzeko baimena ematea eta hura arautzen duten estatutuak onartzea.</w:t>
      </w:r>
    </w:p>
    <w:p w14:paraId="29D45DC2" w14:textId="77777777" w:rsidR="0045136D" w:rsidRPr="0068150F" w:rsidRDefault="0045136D" w:rsidP="0068150F">
      <w:pPr>
        <w:pStyle w:val="Sinespaciado"/>
        <w:rPr>
          <w:rFonts w:cs="Times New Roman"/>
          <w:szCs w:val="24"/>
          <w:lang w:val="eu-ES" w:bidi="ar-SA"/>
        </w:rPr>
      </w:pPr>
    </w:p>
    <w:p w14:paraId="1FDA2D35" w14:textId="77777777" w:rsidR="008C3902" w:rsidRDefault="002E1843">
      <w:pPr>
        <w:spacing w:after="240"/>
        <w:jc w:val="both"/>
        <w:rPr>
          <w:rFonts w:cs="Times New Roman"/>
          <w:szCs w:val="24"/>
          <w:lang w:val="eu-ES" w:bidi="ar-SA"/>
        </w:rPr>
      </w:pPr>
      <w:r>
        <w:rPr>
          <w:rFonts w:cs="Times New Roman"/>
          <w:sz w:val="22"/>
          <w:szCs w:val="24"/>
          <w:lang w:val="eu-ES" w:bidi="ar-SA"/>
        </w:rPr>
        <w:t xml:space="preserve">Mugikortasunaren sektorea eraldaketa sakoneko prozesu batean murgilduta dago, eta ekonomiaren, teknologiaren, gizartearen eta iraunkortasunaren arloko faktoreak bateratzen ari dira. Horrela, aurrerapen teknologikoek (energia iturri berriztagarri berriak, ibilgailu autonomoa, </w:t>
      </w:r>
      <w:proofErr w:type="spellStart"/>
      <w:r>
        <w:rPr>
          <w:rFonts w:cs="Times New Roman"/>
          <w:sz w:val="22"/>
          <w:szCs w:val="24"/>
          <w:lang w:val="eu-ES" w:bidi="ar-SA"/>
        </w:rPr>
        <w:t>konektibitatea</w:t>
      </w:r>
      <w:proofErr w:type="spellEnd"/>
      <w:r>
        <w:rPr>
          <w:rFonts w:cs="Times New Roman"/>
          <w:sz w:val="22"/>
          <w:szCs w:val="24"/>
          <w:lang w:val="eu-ES" w:bidi="ar-SA"/>
        </w:rPr>
        <w:t xml:space="preserve">, adimen artifiziala, datuak erabiltzeko sistemak, etab.) eta horien guztien arteko elkarrekintzak industriaren ekoizpen eta ustiapen prozesuak eta pertsonen eta salgaien mugikortasunarekin lotutako zerbitzuak berriz definitzea ekarriko dute. </w:t>
      </w:r>
    </w:p>
    <w:p w14:paraId="1005072D" w14:textId="77777777" w:rsidR="008C3902" w:rsidRDefault="002E1843">
      <w:pPr>
        <w:spacing w:after="240"/>
        <w:jc w:val="both"/>
        <w:rPr>
          <w:rFonts w:cs="Times New Roman"/>
          <w:sz w:val="22"/>
          <w:szCs w:val="24"/>
          <w:lang w:val="eu-ES" w:bidi="ar-SA"/>
        </w:rPr>
      </w:pPr>
      <w:r>
        <w:rPr>
          <w:rFonts w:cs="Times New Roman"/>
          <w:sz w:val="22"/>
          <w:szCs w:val="24"/>
          <w:lang w:val="eu-ES" w:bidi="ar-SA"/>
        </w:rPr>
        <w:t>Garapen teknologikoak, pertsonen ohituren eta balioen aldaketak, garraiobide berrien ugaritzeak eta krisi klimatikoaren gaineko kezka globalak sektorea aldatzen ari dira.</w:t>
      </w:r>
    </w:p>
    <w:p w14:paraId="2BF0F050" w14:textId="77777777" w:rsidR="008C3902" w:rsidRDefault="002E1843">
      <w:pPr>
        <w:spacing w:after="240"/>
        <w:jc w:val="both"/>
        <w:rPr>
          <w:rFonts w:cs="Times New Roman"/>
          <w:szCs w:val="24"/>
          <w:lang w:val="eu-ES" w:bidi="ar-SA"/>
        </w:rPr>
      </w:pPr>
      <w:r>
        <w:rPr>
          <w:rFonts w:cs="Times New Roman"/>
          <w:sz w:val="22"/>
          <w:szCs w:val="24"/>
          <w:lang w:val="eu-ES" w:bidi="ar-SA"/>
        </w:rPr>
        <w:t>Pertsonen mugikortasunaren merkatuak aukera berriak eskaintzen ditu, hala nola:  mugikortasuna zerbitzu gisa, mugikortasun partekatua, mugikortasun elektrikoa, konektatua eta autonomoa, aukera berriak energiaren eta garraioaren sektorerako eta zerbitzu espezializatuak, adibidez, adineko pertsona helduentzat edo landa-eremuetan bizi direnentzat.</w:t>
      </w:r>
    </w:p>
    <w:p w14:paraId="553FF1EC" w14:textId="77777777" w:rsidR="008C3902" w:rsidRDefault="002E1843">
      <w:pPr>
        <w:spacing w:after="240"/>
        <w:jc w:val="both"/>
        <w:rPr>
          <w:rFonts w:cs="Times New Roman"/>
          <w:szCs w:val="24"/>
          <w:lang w:val="eu-ES" w:bidi="ar-SA"/>
        </w:rPr>
      </w:pPr>
      <w:r>
        <w:rPr>
          <w:rFonts w:cs="Times New Roman"/>
          <w:sz w:val="22"/>
          <w:szCs w:val="24"/>
          <w:lang w:val="eu-ES" w:bidi="ar-SA"/>
        </w:rPr>
        <w:t xml:space="preserve">Pertsonen mugikortasuna bezala, salgaien garraioa ere hazkunde eta eraldaketa prozesu betean dago, elkarrekin lotutako faktore batzuen ondorioz:  merkataritza elektronikoaren booma, hiri biztanleriaren hazkundea, globalizazioa eta garapen teknologikoa. </w:t>
      </w:r>
    </w:p>
    <w:p w14:paraId="1130C1CE" w14:textId="77777777" w:rsidR="008C3902" w:rsidRDefault="002E1843">
      <w:pPr>
        <w:spacing w:after="240"/>
        <w:jc w:val="both"/>
        <w:rPr>
          <w:rFonts w:cs="Times New Roman"/>
          <w:sz w:val="22"/>
          <w:szCs w:val="24"/>
          <w:lang w:val="eu-ES" w:bidi="ar-SA"/>
        </w:rPr>
      </w:pPr>
      <w:r>
        <w:rPr>
          <w:rFonts w:cs="Times New Roman"/>
          <w:sz w:val="22"/>
          <w:szCs w:val="24"/>
          <w:lang w:val="eu-ES" w:bidi="ar-SA"/>
        </w:rPr>
        <w:t>Era berean, krisi klimatikoaren testuinguruan, mugikortasun eta logistika eredu eta sistema iraunkorragoak bilatzeko joera orokorra dago, bide pilaketa, kutsadura atmosferikoa eta akustikoa murrizteko, eta, aldi berean, garraioaren eraginkortasuna, errentagarritasuna eta malgutasuna areagotzeko.</w:t>
      </w:r>
    </w:p>
    <w:p w14:paraId="1687B1DD" w14:textId="77777777" w:rsidR="008C3902" w:rsidRDefault="002E1843">
      <w:pPr>
        <w:spacing w:after="240"/>
        <w:jc w:val="both"/>
        <w:rPr>
          <w:rFonts w:cs="Times New Roman"/>
          <w:sz w:val="22"/>
          <w:szCs w:val="24"/>
          <w:lang w:val="eu-ES" w:bidi="ar-SA"/>
        </w:rPr>
      </w:pPr>
      <w:r>
        <w:rPr>
          <w:rFonts w:cs="Times New Roman"/>
          <w:sz w:val="22"/>
          <w:szCs w:val="24"/>
          <w:lang w:val="eu-ES" w:bidi="ar-SA"/>
        </w:rPr>
        <w:t>Araban eta Gasteizen lehen mailako interesa dago garraioaren eta logistikaren sektorean, eta eremu horretan sortzen ari diren aukerak aztertu eta garatzeko, sektore pribatuarekiko lankidetza sustatuz.</w:t>
      </w:r>
    </w:p>
    <w:p w14:paraId="6EBF1D56" w14:textId="77777777" w:rsidR="008C3902" w:rsidRDefault="002E1843">
      <w:pPr>
        <w:spacing w:after="240"/>
        <w:jc w:val="both"/>
        <w:rPr>
          <w:rFonts w:cs="Times New Roman"/>
          <w:szCs w:val="24"/>
          <w:lang w:val="eu-ES" w:bidi="ar-SA"/>
        </w:rPr>
      </w:pPr>
      <w:r>
        <w:rPr>
          <w:rFonts w:cs="Times New Roman"/>
          <w:sz w:val="22"/>
          <w:szCs w:val="24"/>
          <w:lang w:val="eu-ES" w:bidi="ar-SA"/>
        </w:rPr>
        <w:t>Beraz, interes orokorra dago Gasteizen eta Araban mugikortasuna eta logistika hobetzeko eta ekonomia sarearen konplexutasuna bultzatzeko ekimenak, esperientziak eta pilotuak antolatu, sistematizatu eta egituratzeko.  Horretarako, lehentasunezkoa da mugikortasunean eta logistikan berrikuntza gune bat eraikitzea, Araban eta Gasteizen politika eraldatzaileetan erreferente izango dena.</w:t>
      </w:r>
    </w:p>
    <w:p w14:paraId="34D552F8" w14:textId="77777777" w:rsidR="008C3902" w:rsidRDefault="002E1843">
      <w:pPr>
        <w:spacing w:after="240"/>
        <w:jc w:val="both"/>
        <w:rPr>
          <w:rFonts w:cs="Times New Roman"/>
          <w:sz w:val="22"/>
          <w:szCs w:val="24"/>
          <w:lang w:val="eu-ES" w:bidi="ar-SA"/>
        </w:rPr>
      </w:pPr>
      <w:r>
        <w:rPr>
          <w:rFonts w:cs="Times New Roman"/>
          <w:sz w:val="22"/>
          <w:szCs w:val="24"/>
          <w:lang w:val="eu-ES" w:bidi="ar-SA"/>
        </w:rPr>
        <w:t>Proiektu hori abian jartzeko kudeaketa moduen artean, ulertzen da Euskal Autonomia Erkidegoko Fundazioei buruzko ekainaren 2ko 9/2016 Legeak araututako fundazioen araubidea dela egokiena, zerbitzu horren kudeaketa soilik publikoa izateko borondate argia eta beste erakunde pribatu edo publiko batzuek ekimenean eta baliabideen zuzkiduran laguntzeko aukera uztartzea ahalbidetzen baitu.</w:t>
      </w:r>
    </w:p>
    <w:p w14:paraId="76DCCF21" w14:textId="77777777" w:rsidR="008C3902" w:rsidRDefault="002E1843">
      <w:pPr>
        <w:spacing w:after="240"/>
        <w:jc w:val="both"/>
        <w:rPr>
          <w:rFonts w:cs="Times New Roman"/>
          <w:szCs w:val="24"/>
          <w:lang w:val="eu-ES" w:bidi="ar-SA"/>
        </w:rPr>
      </w:pPr>
      <w:r>
        <w:rPr>
          <w:rFonts w:cs="Times New Roman"/>
          <w:sz w:val="22"/>
          <w:szCs w:val="24"/>
          <w:lang w:val="eu-ES" w:bidi="ar-SA"/>
        </w:rPr>
        <w:t xml:space="preserve">Horregatik, Arabako Foru Aldundiak, Vitoria-Gasteizko Udalarekin lankidetzan, fundazio bat eratu nahi du interes orokor hori lortzeko eta, besteak beste, jarduera hauek egiteko: </w:t>
      </w:r>
    </w:p>
    <w:p w14:paraId="1003196E" w14:textId="77777777" w:rsidR="008C3902" w:rsidRDefault="002E1843">
      <w:pPr>
        <w:pStyle w:val="Prrafodelista"/>
        <w:numPr>
          <w:ilvl w:val="0"/>
          <w:numId w:val="5"/>
        </w:numPr>
        <w:spacing w:after="240"/>
        <w:ind w:left="720" w:hanging="360"/>
        <w:jc w:val="both"/>
        <w:rPr>
          <w:rFonts w:cs="Times New Roman"/>
          <w:sz w:val="22"/>
          <w:szCs w:val="24"/>
          <w:lang w:val="eu-ES" w:bidi="ar-SA"/>
        </w:rPr>
      </w:pPr>
      <w:r>
        <w:rPr>
          <w:rFonts w:cs="Times New Roman"/>
          <w:sz w:val="22"/>
          <w:szCs w:val="24"/>
          <w:lang w:val="eu-ES" w:bidi="ar-SA"/>
        </w:rPr>
        <w:t>Gasteizen eta Araban berrikuntza erraztea, esperimentazio espazioak sortuz eta proiektuak sustatuz.</w:t>
      </w:r>
    </w:p>
    <w:p w14:paraId="61F34EED" w14:textId="77777777" w:rsidR="008C3902" w:rsidRDefault="002E1843">
      <w:pPr>
        <w:pStyle w:val="Prrafodelista"/>
        <w:numPr>
          <w:ilvl w:val="0"/>
          <w:numId w:val="5"/>
        </w:numPr>
        <w:spacing w:after="240"/>
        <w:ind w:left="720" w:hanging="360"/>
        <w:jc w:val="both"/>
        <w:rPr>
          <w:rFonts w:cs="Times New Roman"/>
          <w:sz w:val="22"/>
          <w:szCs w:val="24"/>
          <w:lang w:val="eu-ES" w:bidi="ar-SA"/>
        </w:rPr>
      </w:pPr>
      <w:r>
        <w:rPr>
          <w:rFonts w:cs="Times New Roman"/>
          <w:sz w:val="22"/>
          <w:szCs w:val="24"/>
          <w:lang w:val="eu-ES" w:bidi="ar-SA"/>
        </w:rPr>
        <w:t>Administrazio publikoa, enpresak eta ikertzaileak eta irakasleak elkartzeko, trukatzeko eta lerrokatzeko lekua izatea.</w:t>
      </w:r>
    </w:p>
    <w:p w14:paraId="4E27BC41" w14:textId="77777777" w:rsidR="008C3902" w:rsidRDefault="002E1843">
      <w:pPr>
        <w:pStyle w:val="Prrafodelista"/>
        <w:numPr>
          <w:ilvl w:val="0"/>
          <w:numId w:val="5"/>
        </w:numPr>
        <w:spacing w:after="240"/>
        <w:ind w:left="720" w:hanging="360"/>
        <w:jc w:val="both"/>
        <w:rPr>
          <w:rFonts w:cs="Times New Roman"/>
          <w:sz w:val="22"/>
          <w:szCs w:val="24"/>
          <w:lang w:val="eu-ES" w:bidi="ar-SA"/>
        </w:rPr>
      </w:pPr>
      <w:r>
        <w:rPr>
          <w:rFonts w:cs="Times New Roman"/>
          <w:sz w:val="22"/>
          <w:szCs w:val="24"/>
          <w:lang w:val="eu-ES" w:bidi="ar-SA"/>
        </w:rPr>
        <w:t xml:space="preserve">Kanpoan eta barruan </w:t>
      </w:r>
      <w:proofErr w:type="spellStart"/>
      <w:r>
        <w:rPr>
          <w:rFonts w:cs="Times New Roman"/>
          <w:sz w:val="22"/>
          <w:szCs w:val="24"/>
          <w:lang w:val="eu-ES" w:bidi="ar-SA"/>
        </w:rPr>
        <w:t>testatze</w:t>
      </w:r>
      <w:proofErr w:type="spellEnd"/>
      <w:r>
        <w:rPr>
          <w:rFonts w:cs="Times New Roman"/>
          <w:sz w:val="22"/>
          <w:szCs w:val="24"/>
          <w:lang w:val="eu-ES" w:bidi="ar-SA"/>
        </w:rPr>
        <w:t xml:space="preserve"> dualeko espazioak eskaintzea.</w:t>
      </w:r>
    </w:p>
    <w:p w14:paraId="656DE181" w14:textId="77777777" w:rsidR="008C3902" w:rsidRDefault="002E1843">
      <w:pPr>
        <w:pStyle w:val="Prrafodelista"/>
        <w:numPr>
          <w:ilvl w:val="0"/>
          <w:numId w:val="5"/>
        </w:numPr>
        <w:spacing w:after="240"/>
        <w:ind w:left="720" w:hanging="360"/>
        <w:jc w:val="both"/>
        <w:rPr>
          <w:rFonts w:cs="Times New Roman"/>
          <w:sz w:val="22"/>
          <w:szCs w:val="24"/>
          <w:lang w:val="eu-ES" w:bidi="ar-SA"/>
        </w:rPr>
      </w:pPr>
      <w:r>
        <w:rPr>
          <w:rFonts w:cs="Times New Roman"/>
          <w:sz w:val="22"/>
          <w:szCs w:val="24"/>
          <w:lang w:val="eu-ES" w:bidi="ar-SA"/>
        </w:rPr>
        <w:t>Mugikortasun laborategiaren funtzionamendu operatiboa markatuko duten prozesuak eta metodologiak diseinatzea.</w:t>
      </w:r>
    </w:p>
    <w:p w14:paraId="4370EE2D" w14:textId="77777777" w:rsidR="008C3902" w:rsidRDefault="002E1843">
      <w:pPr>
        <w:pStyle w:val="Prrafodelista"/>
        <w:numPr>
          <w:ilvl w:val="0"/>
          <w:numId w:val="5"/>
        </w:numPr>
        <w:spacing w:after="240"/>
        <w:ind w:left="720" w:hanging="360"/>
        <w:jc w:val="both"/>
        <w:rPr>
          <w:rFonts w:cs="Times New Roman"/>
          <w:sz w:val="22"/>
          <w:szCs w:val="24"/>
          <w:lang w:val="eu-ES" w:bidi="ar-SA"/>
        </w:rPr>
      </w:pPr>
      <w:r>
        <w:rPr>
          <w:rFonts w:cs="Times New Roman"/>
          <w:sz w:val="22"/>
          <w:szCs w:val="24"/>
          <w:lang w:val="eu-ES" w:bidi="ar-SA"/>
        </w:rPr>
        <w:lastRenderedPageBreak/>
        <w:t>Finantzaketa iturriak dibertsifikatzea eta finantzaketa ereduak aztertzea.</w:t>
      </w:r>
    </w:p>
    <w:p w14:paraId="5E6E05CB" w14:textId="77777777" w:rsidR="008C3902" w:rsidRDefault="002E1843">
      <w:pPr>
        <w:pStyle w:val="Prrafodelista"/>
        <w:numPr>
          <w:ilvl w:val="0"/>
          <w:numId w:val="5"/>
        </w:numPr>
        <w:spacing w:after="240"/>
        <w:ind w:left="720" w:hanging="360"/>
        <w:jc w:val="both"/>
        <w:rPr>
          <w:rFonts w:cs="Times New Roman"/>
          <w:sz w:val="22"/>
          <w:szCs w:val="24"/>
          <w:lang w:val="eu-ES" w:bidi="ar-SA"/>
        </w:rPr>
      </w:pPr>
      <w:r>
        <w:rPr>
          <w:rFonts w:cs="Times New Roman"/>
          <w:sz w:val="22"/>
          <w:szCs w:val="24"/>
          <w:lang w:val="eu-ES" w:bidi="ar-SA"/>
        </w:rPr>
        <w:t xml:space="preserve">Europako eta nazioarteko sareekin eta beste mugikortasun laborategi batzuekin lankidetzan aritzea. </w:t>
      </w:r>
    </w:p>
    <w:p w14:paraId="3DE12798" w14:textId="77777777" w:rsidR="008C3902" w:rsidRDefault="002E1843">
      <w:pPr>
        <w:pStyle w:val="Prrafodelista"/>
        <w:numPr>
          <w:ilvl w:val="0"/>
          <w:numId w:val="5"/>
        </w:numPr>
        <w:spacing w:after="240"/>
        <w:ind w:left="720" w:hanging="360"/>
        <w:jc w:val="both"/>
        <w:rPr>
          <w:rFonts w:cs="Times New Roman"/>
          <w:sz w:val="22"/>
          <w:szCs w:val="24"/>
          <w:lang w:val="eu-ES" w:bidi="ar-SA"/>
        </w:rPr>
      </w:pPr>
      <w:r>
        <w:rPr>
          <w:rFonts w:cs="Times New Roman"/>
          <w:sz w:val="22"/>
          <w:szCs w:val="24"/>
          <w:lang w:val="eu-ES" w:bidi="ar-SA"/>
        </w:rPr>
        <w:t xml:space="preserve">Konponbide teknologikoak gizarte inpaktura bideratzea, herritarrek lan ildoak zehazteko eta proiektu berritzaileak garatzeko unean dituzten benetako beharrak kontuan hartuta, eta teknologian oinarritutako produktu eta zerbitzu berriek gizartean duten eragina aztertuta, aldez aurreko azterketaren eta ebaluazioaren bidez. </w:t>
      </w:r>
    </w:p>
    <w:p w14:paraId="01B8CCD0" w14:textId="77777777" w:rsidR="008C3902" w:rsidRDefault="002E1843">
      <w:pPr>
        <w:pStyle w:val="Prrafodelista"/>
        <w:numPr>
          <w:ilvl w:val="0"/>
          <w:numId w:val="5"/>
        </w:numPr>
        <w:spacing w:after="240"/>
        <w:ind w:left="720" w:hanging="360"/>
        <w:jc w:val="both"/>
        <w:rPr>
          <w:rFonts w:cs="Times New Roman"/>
          <w:sz w:val="22"/>
          <w:szCs w:val="24"/>
          <w:lang w:val="eu-ES" w:bidi="ar-SA"/>
        </w:rPr>
      </w:pPr>
      <w:r>
        <w:rPr>
          <w:rFonts w:cs="Times New Roman"/>
          <w:sz w:val="22"/>
          <w:szCs w:val="24"/>
          <w:lang w:val="eu-ES" w:bidi="ar-SA"/>
        </w:rPr>
        <w:t>Herritarrekin modu aktiboan lankidetzan aritzea, mugikortasunaren eremuan konponbide eta politika publikoak garatzeko.</w:t>
      </w:r>
    </w:p>
    <w:p w14:paraId="2995EBD4" w14:textId="77777777" w:rsidR="008C3902" w:rsidRDefault="002E1843">
      <w:pPr>
        <w:spacing w:after="240"/>
        <w:jc w:val="both"/>
        <w:rPr>
          <w:rFonts w:cs="Times New Roman"/>
          <w:sz w:val="22"/>
          <w:szCs w:val="24"/>
          <w:lang w:val="eu-ES" w:bidi="ar-SA"/>
        </w:rPr>
      </w:pPr>
      <w:r>
        <w:rPr>
          <w:rFonts w:cs="Times New Roman"/>
          <w:sz w:val="22"/>
          <w:szCs w:val="24"/>
          <w:lang w:val="eu-ES" w:bidi="ar-SA"/>
        </w:rPr>
        <w:t>Ondorioz, Euskal Autonomia Erkidegoko Fundazioei buruzko ekainaren 2ko 9/2016 Legearen 7.4 artikuluan xedatutakoarekin bat etorriz, diputatu nagusiaren proposamenez eta Foru Gobernuaren Kontseiluak gaur egindako bilkuran aztertu ondoren, hauxe</w:t>
      </w:r>
    </w:p>
    <w:p w14:paraId="438D28ED" w14:textId="77777777" w:rsidR="008C3902" w:rsidRDefault="002E1843">
      <w:pPr>
        <w:widowControl w:val="0"/>
        <w:spacing w:after="240"/>
        <w:jc w:val="both"/>
        <w:rPr>
          <w:rFonts w:cs="Times New Roman"/>
          <w:szCs w:val="24"/>
          <w:lang w:val="eu-ES" w:bidi="ar-SA"/>
        </w:rPr>
      </w:pPr>
      <w:r>
        <w:rPr>
          <w:rFonts w:cs="Times New Roman"/>
          <w:sz w:val="22"/>
          <w:szCs w:val="24"/>
          <w:lang w:val="eu-ES" w:bidi="ar-SA"/>
        </w:rPr>
        <w:t xml:space="preserve">Lehena. Baimena ematea Fundación Vitoria Gasteiz, Araba </w:t>
      </w:r>
      <w:proofErr w:type="spellStart"/>
      <w:r>
        <w:rPr>
          <w:rFonts w:cs="Times New Roman"/>
          <w:sz w:val="22"/>
          <w:szCs w:val="24"/>
          <w:lang w:val="eu-ES" w:bidi="ar-SA"/>
        </w:rPr>
        <w:t>Mobility</w:t>
      </w:r>
      <w:proofErr w:type="spellEnd"/>
      <w:r>
        <w:rPr>
          <w:rFonts w:cs="Times New Roman"/>
          <w:sz w:val="22"/>
          <w:szCs w:val="24"/>
          <w:lang w:val="eu-ES" w:bidi="ar-SA"/>
        </w:rPr>
        <w:t xml:space="preserve"> </w:t>
      </w:r>
      <w:proofErr w:type="spellStart"/>
      <w:r>
        <w:rPr>
          <w:rFonts w:cs="Times New Roman"/>
          <w:sz w:val="22"/>
          <w:szCs w:val="24"/>
          <w:lang w:val="eu-ES" w:bidi="ar-SA"/>
        </w:rPr>
        <w:t>Lab</w:t>
      </w:r>
      <w:proofErr w:type="spellEnd"/>
      <w:r>
        <w:rPr>
          <w:rFonts w:cs="Times New Roman"/>
          <w:sz w:val="22"/>
          <w:szCs w:val="24"/>
          <w:lang w:val="eu-ES" w:bidi="ar-SA"/>
        </w:rPr>
        <w:t xml:space="preserve"> Fundazioa eratzeko. Fundazioaren helburu orokorra eta interes orokorreko helburua da Gasteizen eta Araban mugikortasuna eta logistika hobetzeko eta ekonomia sarearen lehiakortasuna bultzatzeko ekimenak, esperientziak eta pilotuak antolatzea, sistematizatzea eta egituratzea, bai eta mugikortasunean eta logistikan berrikuntza polo bat eraikitzea ere, Gasteizen eta Araban politika eraldatzaileetan erreferente izango dena.</w:t>
      </w:r>
    </w:p>
    <w:p w14:paraId="1967D202" w14:textId="77777777" w:rsidR="008C3902" w:rsidRDefault="002E1843">
      <w:pPr>
        <w:widowControl w:val="0"/>
        <w:spacing w:after="240"/>
        <w:jc w:val="both"/>
        <w:rPr>
          <w:rFonts w:cs="Times New Roman"/>
          <w:szCs w:val="24"/>
          <w:lang w:val="eu-ES" w:bidi="ar-SA"/>
        </w:rPr>
      </w:pPr>
      <w:r>
        <w:rPr>
          <w:rFonts w:cs="Times New Roman"/>
          <w:sz w:val="22"/>
          <w:szCs w:val="24"/>
          <w:lang w:val="eu-ES" w:bidi="ar-SA"/>
        </w:rPr>
        <w:t xml:space="preserve">Bigarrena. Erabaki honen I. eranskinean agertzen diren Fundación Vitoria Gasteiz, Araba </w:t>
      </w:r>
      <w:proofErr w:type="spellStart"/>
      <w:r>
        <w:rPr>
          <w:rFonts w:cs="Times New Roman"/>
          <w:sz w:val="22"/>
          <w:szCs w:val="24"/>
          <w:lang w:val="eu-ES" w:bidi="ar-SA"/>
        </w:rPr>
        <w:t>Mobility</w:t>
      </w:r>
      <w:proofErr w:type="spellEnd"/>
      <w:r>
        <w:rPr>
          <w:rFonts w:cs="Times New Roman"/>
          <w:sz w:val="22"/>
          <w:szCs w:val="24"/>
          <w:lang w:val="eu-ES" w:bidi="ar-SA"/>
        </w:rPr>
        <w:t xml:space="preserve"> </w:t>
      </w:r>
      <w:proofErr w:type="spellStart"/>
      <w:r>
        <w:rPr>
          <w:rFonts w:cs="Times New Roman"/>
          <w:sz w:val="22"/>
          <w:szCs w:val="24"/>
          <w:lang w:val="eu-ES" w:bidi="ar-SA"/>
        </w:rPr>
        <w:t>Lab</w:t>
      </w:r>
      <w:proofErr w:type="spellEnd"/>
      <w:r>
        <w:rPr>
          <w:rFonts w:cs="Times New Roman"/>
          <w:sz w:val="22"/>
          <w:szCs w:val="24"/>
          <w:lang w:val="eu-ES" w:bidi="ar-SA"/>
        </w:rPr>
        <w:t xml:space="preserve"> Fundazioaren estatutuak onartzea. </w:t>
      </w:r>
    </w:p>
    <w:p w14:paraId="3EF05C43" w14:textId="77777777" w:rsidR="008C3902" w:rsidRDefault="002E1843">
      <w:pPr>
        <w:widowControl w:val="0"/>
        <w:spacing w:after="240"/>
        <w:jc w:val="both"/>
        <w:rPr>
          <w:rFonts w:cs="Times New Roman"/>
          <w:szCs w:val="24"/>
          <w:lang w:val="eu-ES" w:bidi="ar-SA"/>
        </w:rPr>
      </w:pPr>
      <w:r>
        <w:rPr>
          <w:rFonts w:cs="Times New Roman"/>
          <w:sz w:val="22"/>
          <w:szCs w:val="24"/>
          <w:lang w:val="eu-ES" w:bidi="ar-SA"/>
        </w:rPr>
        <w:t xml:space="preserve">Hirugarrena.- Eremu Estrategikoen zuzendariari baimena ematea Fundación Vitoria – Gasteiz, Araba </w:t>
      </w:r>
      <w:proofErr w:type="spellStart"/>
      <w:r>
        <w:rPr>
          <w:rFonts w:cs="Times New Roman"/>
          <w:sz w:val="22"/>
          <w:szCs w:val="24"/>
          <w:lang w:val="eu-ES" w:bidi="ar-SA"/>
        </w:rPr>
        <w:t>Mobility</w:t>
      </w:r>
      <w:proofErr w:type="spellEnd"/>
      <w:r>
        <w:rPr>
          <w:rFonts w:cs="Times New Roman"/>
          <w:sz w:val="22"/>
          <w:szCs w:val="24"/>
          <w:lang w:val="eu-ES" w:bidi="ar-SA"/>
        </w:rPr>
        <w:t xml:space="preserve"> </w:t>
      </w:r>
      <w:proofErr w:type="spellStart"/>
      <w:r>
        <w:rPr>
          <w:rFonts w:cs="Times New Roman"/>
          <w:sz w:val="22"/>
          <w:szCs w:val="24"/>
          <w:lang w:val="eu-ES" w:bidi="ar-SA"/>
        </w:rPr>
        <w:t>Lab</w:t>
      </w:r>
      <w:proofErr w:type="spellEnd"/>
      <w:r>
        <w:rPr>
          <w:rFonts w:cs="Times New Roman"/>
          <w:sz w:val="22"/>
          <w:szCs w:val="24"/>
          <w:lang w:val="eu-ES" w:bidi="ar-SA"/>
        </w:rPr>
        <w:t xml:space="preserve"> Fundazioa eratzeko eskritura publikoa egilesteko eta erabaki hau gauzatzeko behar diren agiri publiko eta pribatu guztiak sinatzeko, bai eta fundazioa eratzeko behar diren prestakuntza jarduketa guztiak egiteko ere.</w:t>
      </w:r>
    </w:p>
    <w:p w14:paraId="2EF94502" w14:textId="77777777" w:rsidR="0041557D" w:rsidRDefault="0041557D">
      <w:pPr>
        <w:rPr>
          <w:rFonts w:cs="Times New Roman"/>
          <w:szCs w:val="24"/>
          <w:lang w:val="eu-ES" w:bidi="ar-SA"/>
        </w:rPr>
      </w:pPr>
    </w:p>
    <w:p w14:paraId="585CE35A" w14:textId="4EF35AED" w:rsidR="008C3902" w:rsidRPr="0041557D" w:rsidRDefault="0041557D" w:rsidP="0068150F">
      <w:pPr>
        <w:rPr>
          <w:rFonts w:cs="Times New Roman"/>
          <w:sz w:val="24"/>
          <w:szCs w:val="24"/>
          <w:lang w:val="eu-ES" w:bidi="ar-SA"/>
        </w:rPr>
      </w:pPr>
      <w:hyperlink r:id="rId5" w:history="1">
        <w:r w:rsidR="0068150F" w:rsidRPr="0041557D">
          <w:rPr>
            <w:rStyle w:val="Hipervnculo"/>
            <w:rFonts w:cs="Times New Roman"/>
            <w:sz w:val="24"/>
            <w:szCs w:val="24"/>
            <w:lang w:val="eu-ES" w:bidi="ar-SA"/>
          </w:rPr>
          <w:t>ERANSKINA</w:t>
        </w:r>
        <w:r w:rsidRPr="0041557D">
          <w:rPr>
            <w:rStyle w:val="Hipervnculo"/>
            <w:rFonts w:cs="Times New Roman"/>
            <w:sz w:val="24"/>
            <w:szCs w:val="24"/>
            <w:lang w:val="eu-ES" w:bidi="ar-SA"/>
          </w:rPr>
          <w:t xml:space="preserve"> - </w:t>
        </w:r>
        <w:r w:rsidR="002E1843" w:rsidRPr="0041557D">
          <w:rPr>
            <w:rStyle w:val="Hipervnculo"/>
            <w:rFonts w:cs="Times New Roman"/>
            <w:sz w:val="24"/>
            <w:szCs w:val="24"/>
            <w:lang w:val="eu-ES" w:bidi="ar-SA"/>
          </w:rPr>
          <w:t>FUNDACIÓN VITORIA GASTEIZ, ARABA MOBILITY LAB FUNDAZIOAREN ESTATUTUAK</w:t>
        </w:r>
      </w:hyperlink>
    </w:p>
    <w:p w14:paraId="7E8ACF7B" w14:textId="77777777" w:rsidR="008C3902" w:rsidRDefault="008C3902">
      <w:pPr>
        <w:jc w:val="both"/>
        <w:rPr>
          <w:rFonts w:cs="Times New Roman"/>
          <w:sz w:val="22"/>
          <w:szCs w:val="24"/>
          <w:lang w:val="eu-ES" w:bidi="ar-SA"/>
        </w:rPr>
      </w:pPr>
    </w:p>
    <w:p w14:paraId="2E468F15" w14:textId="77777777" w:rsidR="008C3902" w:rsidRDefault="008C3902">
      <w:pPr>
        <w:jc w:val="both"/>
        <w:rPr>
          <w:rFonts w:cs="Times New Roman"/>
          <w:sz w:val="22"/>
          <w:szCs w:val="24"/>
          <w:lang w:val="eu-ES" w:bidi="ar-SA"/>
        </w:rPr>
      </w:pPr>
    </w:p>
    <w:p w14:paraId="63EBD398" w14:textId="77777777" w:rsidR="008C3902" w:rsidRDefault="008C3902">
      <w:pPr>
        <w:jc w:val="both"/>
        <w:rPr>
          <w:rFonts w:cs="Times New Roman"/>
          <w:sz w:val="22"/>
          <w:szCs w:val="24"/>
          <w:lang w:val="eu-ES" w:bidi="ar-SA"/>
        </w:rPr>
      </w:pPr>
    </w:p>
    <w:sectPr w:rsidR="008C3902">
      <w:pgSz w:w="11906" w:h="16838"/>
      <w:pgMar w:top="1417" w:right="1701" w:bottom="1417" w:left="1701"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F43DEE"/>
    <w:multiLevelType w:val="hybridMultilevel"/>
    <w:tmpl w:val="3F32D4AC"/>
    <w:name w:val="Lista numerada 4"/>
    <w:lvl w:ilvl="0" w:tplc="43A8FF9E">
      <w:start w:val="1"/>
      <w:numFmt w:val="lowerLetter"/>
      <w:lvlText w:val="%1)"/>
      <w:lvlJc w:val="left"/>
      <w:pPr>
        <w:ind w:left="0" w:firstLine="0"/>
      </w:pPr>
    </w:lvl>
    <w:lvl w:ilvl="1" w:tplc="038A2ED6">
      <w:start w:val="1"/>
      <w:numFmt w:val="lowerLetter"/>
      <w:lvlText w:val="%2."/>
      <w:lvlJc w:val="left"/>
      <w:pPr>
        <w:ind w:left="0" w:firstLine="0"/>
      </w:pPr>
    </w:lvl>
    <w:lvl w:ilvl="2" w:tplc="42AE5F56">
      <w:start w:val="1"/>
      <w:numFmt w:val="lowerRoman"/>
      <w:lvlText w:val="%3."/>
      <w:lvlJc w:val="left"/>
      <w:pPr>
        <w:ind w:left="0" w:firstLine="0"/>
      </w:pPr>
    </w:lvl>
    <w:lvl w:ilvl="3" w:tplc="BF0E2A00">
      <w:start w:val="1"/>
      <w:numFmt w:val="decimal"/>
      <w:lvlText w:val="%4."/>
      <w:lvlJc w:val="left"/>
      <w:pPr>
        <w:ind w:left="0" w:firstLine="0"/>
      </w:pPr>
    </w:lvl>
    <w:lvl w:ilvl="4" w:tplc="90AED846">
      <w:start w:val="1"/>
      <w:numFmt w:val="lowerLetter"/>
      <w:lvlText w:val="%5."/>
      <w:lvlJc w:val="left"/>
      <w:pPr>
        <w:ind w:left="0" w:firstLine="0"/>
      </w:pPr>
    </w:lvl>
    <w:lvl w:ilvl="5" w:tplc="75940D36">
      <w:start w:val="1"/>
      <w:numFmt w:val="lowerRoman"/>
      <w:lvlText w:val="%6."/>
      <w:lvlJc w:val="left"/>
      <w:pPr>
        <w:ind w:left="0" w:firstLine="0"/>
      </w:pPr>
    </w:lvl>
    <w:lvl w:ilvl="6" w:tplc="17C0656A">
      <w:start w:val="1"/>
      <w:numFmt w:val="decimal"/>
      <w:lvlText w:val="%7."/>
      <w:lvlJc w:val="left"/>
      <w:pPr>
        <w:ind w:left="0" w:firstLine="0"/>
      </w:pPr>
    </w:lvl>
    <w:lvl w:ilvl="7" w:tplc="28C4677C">
      <w:start w:val="1"/>
      <w:numFmt w:val="lowerLetter"/>
      <w:lvlText w:val="%8."/>
      <w:lvlJc w:val="left"/>
      <w:pPr>
        <w:ind w:left="0" w:firstLine="0"/>
      </w:pPr>
    </w:lvl>
    <w:lvl w:ilvl="8" w:tplc="6B8E89A2">
      <w:start w:val="1"/>
      <w:numFmt w:val="lowerRoman"/>
      <w:lvlText w:val="%9."/>
      <w:lvlJc w:val="left"/>
      <w:pPr>
        <w:ind w:left="0" w:firstLine="0"/>
      </w:pPr>
    </w:lvl>
  </w:abstractNum>
  <w:abstractNum w:abstractNumId="1" w15:restartNumberingAfterBreak="0">
    <w:nsid w:val="40890132"/>
    <w:multiLevelType w:val="hybridMultilevel"/>
    <w:tmpl w:val="2A30ED58"/>
    <w:name w:val="Lista numerada 5"/>
    <w:lvl w:ilvl="0" w:tplc="02FCDC12">
      <w:numFmt w:val="bullet"/>
      <w:lvlText w:val="-"/>
      <w:lvlJc w:val="left"/>
      <w:pPr>
        <w:ind w:left="0" w:firstLine="0"/>
      </w:pPr>
      <w:rPr>
        <w:rFonts w:ascii="Times New Roman" w:eastAsia="Times New Roman" w:hAnsi="Times New Roman" w:cs="Times New Roman"/>
      </w:rPr>
    </w:lvl>
    <w:lvl w:ilvl="1" w:tplc="1E4EFEC0">
      <w:numFmt w:val="bullet"/>
      <w:lvlText w:val="o"/>
      <w:lvlJc w:val="left"/>
      <w:pPr>
        <w:ind w:left="0" w:firstLine="0"/>
      </w:pPr>
      <w:rPr>
        <w:rFonts w:ascii="Courier New" w:eastAsia="Courier New" w:hAnsi="Courier New" w:cs="Courier New"/>
      </w:rPr>
    </w:lvl>
    <w:lvl w:ilvl="2" w:tplc="C76C329E">
      <w:numFmt w:val="bullet"/>
      <w:lvlText w:val=""/>
      <w:lvlJc w:val="left"/>
      <w:pPr>
        <w:ind w:left="0" w:firstLine="0"/>
      </w:pPr>
      <w:rPr>
        <w:rFonts w:ascii="Wingdings" w:eastAsia="Wingdings" w:hAnsi="Wingdings" w:cs="Wingdings"/>
      </w:rPr>
    </w:lvl>
    <w:lvl w:ilvl="3" w:tplc="313A096C">
      <w:numFmt w:val="bullet"/>
      <w:lvlText w:val=""/>
      <w:lvlJc w:val="left"/>
      <w:pPr>
        <w:ind w:left="0" w:firstLine="0"/>
      </w:pPr>
      <w:rPr>
        <w:rFonts w:ascii="Symbol" w:eastAsia="Symbol" w:hAnsi="Symbol" w:cs="Symbol"/>
      </w:rPr>
    </w:lvl>
    <w:lvl w:ilvl="4" w:tplc="C4AE0070">
      <w:numFmt w:val="bullet"/>
      <w:lvlText w:val="o"/>
      <w:lvlJc w:val="left"/>
      <w:pPr>
        <w:ind w:left="0" w:firstLine="0"/>
      </w:pPr>
      <w:rPr>
        <w:rFonts w:ascii="Courier New" w:eastAsia="Courier New" w:hAnsi="Courier New" w:cs="Courier New"/>
      </w:rPr>
    </w:lvl>
    <w:lvl w:ilvl="5" w:tplc="4A1EAF00">
      <w:numFmt w:val="bullet"/>
      <w:lvlText w:val=""/>
      <w:lvlJc w:val="left"/>
      <w:pPr>
        <w:ind w:left="0" w:firstLine="0"/>
      </w:pPr>
      <w:rPr>
        <w:rFonts w:ascii="Wingdings" w:eastAsia="Wingdings" w:hAnsi="Wingdings" w:cs="Wingdings"/>
      </w:rPr>
    </w:lvl>
    <w:lvl w:ilvl="6" w:tplc="2168FCA8">
      <w:numFmt w:val="bullet"/>
      <w:lvlText w:val=""/>
      <w:lvlJc w:val="left"/>
      <w:pPr>
        <w:ind w:left="0" w:firstLine="0"/>
      </w:pPr>
      <w:rPr>
        <w:rFonts w:ascii="Symbol" w:eastAsia="Symbol" w:hAnsi="Symbol" w:cs="Symbol"/>
      </w:rPr>
    </w:lvl>
    <w:lvl w:ilvl="7" w:tplc="5A62E6A8">
      <w:numFmt w:val="bullet"/>
      <w:lvlText w:val="o"/>
      <w:lvlJc w:val="left"/>
      <w:pPr>
        <w:ind w:left="0" w:firstLine="0"/>
      </w:pPr>
      <w:rPr>
        <w:rFonts w:ascii="Courier New" w:eastAsia="Courier New" w:hAnsi="Courier New" w:cs="Courier New"/>
      </w:rPr>
    </w:lvl>
    <w:lvl w:ilvl="8" w:tplc="3DBEFD00">
      <w:numFmt w:val="bullet"/>
      <w:lvlText w:val=""/>
      <w:lvlJc w:val="left"/>
      <w:pPr>
        <w:ind w:left="0" w:firstLine="0"/>
      </w:pPr>
      <w:rPr>
        <w:rFonts w:ascii="Wingdings" w:eastAsia="Wingdings" w:hAnsi="Wingdings" w:cs="Wingdings"/>
      </w:rPr>
    </w:lvl>
  </w:abstractNum>
  <w:abstractNum w:abstractNumId="2" w15:restartNumberingAfterBreak="0">
    <w:nsid w:val="56757D70"/>
    <w:multiLevelType w:val="hybridMultilevel"/>
    <w:tmpl w:val="0336746C"/>
    <w:name w:val="Lista numerada 1"/>
    <w:lvl w:ilvl="0" w:tplc="CD8C2300">
      <w:numFmt w:val="bullet"/>
      <w:lvlText w:val="•"/>
      <w:lvlJc w:val="left"/>
      <w:pPr>
        <w:ind w:left="0" w:firstLine="0"/>
      </w:pPr>
      <w:rPr>
        <w:rFonts w:ascii="Times New Roman" w:eastAsia="Times New Roman" w:hAnsi="Times New Roman" w:cs="Times New Roman"/>
      </w:rPr>
    </w:lvl>
    <w:lvl w:ilvl="1" w:tplc="1E8EB2B2">
      <w:numFmt w:val="bullet"/>
      <w:lvlText w:val="o"/>
      <w:lvlJc w:val="left"/>
      <w:pPr>
        <w:ind w:left="0" w:firstLine="0"/>
      </w:pPr>
      <w:rPr>
        <w:rFonts w:ascii="Courier New" w:eastAsia="Courier New" w:hAnsi="Courier New" w:cs="Courier New"/>
      </w:rPr>
    </w:lvl>
    <w:lvl w:ilvl="2" w:tplc="C8FE5930">
      <w:numFmt w:val="bullet"/>
      <w:lvlText w:val=""/>
      <w:lvlJc w:val="left"/>
      <w:pPr>
        <w:ind w:left="0" w:firstLine="0"/>
      </w:pPr>
      <w:rPr>
        <w:rFonts w:ascii="Wingdings" w:eastAsia="Wingdings" w:hAnsi="Wingdings" w:cs="Wingdings"/>
      </w:rPr>
    </w:lvl>
    <w:lvl w:ilvl="3" w:tplc="F70059CC">
      <w:numFmt w:val="bullet"/>
      <w:lvlText w:val=""/>
      <w:lvlJc w:val="left"/>
      <w:pPr>
        <w:ind w:left="0" w:firstLine="0"/>
      </w:pPr>
      <w:rPr>
        <w:rFonts w:ascii="Symbol" w:eastAsia="Symbol" w:hAnsi="Symbol" w:cs="Symbol"/>
      </w:rPr>
    </w:lvl>
    <w:lvl w:ilvl="4" w:tplc="4DE6F97E">
      <w:numFmt w:val="bullet"/>
      <w:lvlText w:val="o"/>
      <w:lvlJc w:val="left"/>
      <w:pPr>
        <w:ind w:left="0" w:firstLine="0"/>
      </w:pPr>
      <w:rPr>
        <w:rFonts w:ascii="Courier New" w:eastAsia="Courier New" w:hAnsi="Courier New" w:cs="Courier New"/>
      </w:rPr>
    </w:lvl>
    <w:lvl w:ilvl="5" w:tplc="1A8848A2">
      <w:numFmt w:val="bullet"/>
      <w:lvlText w:val=""/>
      <w:lvlJc w:val="left"/>
      <w:pPr>
        <w:ind w:left="0" w:firstLine="0"/>
      </w:pPr>
      <w:rPr>
        <w:rFonts w:ascii="Wingdings" w:eastAsia="Wingdings" w:hAnsi="Wingdings" w:cs="Wingdings"/>
      </w:rPr>
    </w:lvl>
    <w:lvl w:ilvl="6" w:tplc="DA58EDF4">
      <w:numFmt w:val="bullet"/>
      <w:lvlText w:val=""/>
      <w:lvlJc w:val="left"/>
      <w:pPr>
        <w:ind w:left="0" w:firstLine="0"/>
      </w:pPr>
      <w:rPr>
        <w:rFonts w:ascii="Symbol" w:eastAsia="Symbol" w:hAnsi="Symbol" w:cs="Symbol"/>
      </w:rPr>
    </w:lvl>
    <w:lvl w:ilvl="7" w:tplc="5AC8057E">
      <w:numFmt w:val="bullet"/>
      <w:lvlText w:val="o"/>
      <w:lvlJc w:val="left"/>
      <w:pPr>
        <w:ind w:left="0" w:firstLine="0"/>
      </w:pPr>
      <w:rPr>
        <w:rFonts w:ascii="Courier New" w:eastAsia="Courier New" w:hAnsi="Courier New" w:cs="Courier New"/>
      </w:rPr>
    </w:lvl>
    <w:lvl w:ilvl="8" w:tplc="EF82EAA2">
      <w:numFmt w:val="bullet"/>
      <w:lvlText w:val=""/>
      <w:lvlJc w:val="left"/>
      <w:pPr>
        <w:ind w:left="0" w:firstLine="0"/>
      </w:pPr>
      <w:rPr>
        <w:rFonts w:ascii="Wingdings" w:eastAsia="Wingdings" w:hAnsi="Wingdings" w:cs="Wingdings"/>
      </w:rPr>
    </w:lvl>
  </w:abstractNum>
  <w:abstractNum w:abstractNumId="3" w15:restartNumberingAfterBreak="0">
    <w:nsid w:val="64833547"/>
    <w:multiLevelType w:val="hybridMultilevel"/>
    <w:tmpl w:val="29342E66"/>
    <w:lvl w:ilvl="0" w:tplc="5EF44E66">
      <w:numFmt w:val="none"/>
      <w:lvlText w:val=""/>
      <w:lvlJc w:val="left"/>
      <w:pPr>
        <w:tabs>
          <w:tab w:val="num" w:pos="360"/>
        </w:tabs>
        <w:ind w:left="360" w:hanging="360"/>
      </w:pPr>
    </w:lvl>
    <w:lvl w:ilvl="1" w:tplc="028046FA">
      <w:numFmt w:val="none"/>
      <w:lvlText w:val=""/>
      <w:lvlJc w:val="left"/>
      <w:pPr>
        <w:tabs>
          <w:tab w:val="num" w:pos="360"/>
        </w:tabs>
        <w:ind w:left="360" w:hanging="360"/>
      </w:pPr>
    </w:lvl>
    <w:lvl w:ilvl="2" w:tplc="69C4E238">
      <w:numFmt w:val="none"/>
      <w:lvlText w:val=""/>
      <w:lvlJc w:val="left"/>
      <w:pPr>
        <w:tabs>
          <w:tab w:val="num" w:pos="360"/>
        </w:tabs>
        <w:ind w:left="360" w:hanging="360"/>
      </w:pPr>
    </w:lvl>
    <w:lvl w:ilvl="3" w:tplc="3BDAA812">
      <w:numFmt w:val="none"/>
      <w:lvlText w:val=""/>
      <w:lvlJc w:val="left"/>
      <w:pPr>
        <w:tabs>
          <w:tab w:val="num" w:pos="360"/>
        </w:tabs>
        <w:ind w:left="360" w:hanging="360"/>
      </w:pPr>
    </w:lvl>
    <w:lvl w:ilvl="4" w:tplc="50903274">
      <w:numFmt w:val="none"/>
      <w:lvlText w:val=""/>
      <w:lvlJc w:val="left"/>
      <w:pPr>
        <w:tabs>
          <w:tab w:val="num" w:pos="360"/>
        </w:tabs>
        <w:ind w:left="360" w:hanging="360"/>
      </w:pPr>
    </w:lvl>
    <w:lvl w:ilvl="5" w:tplc="FAC4BBB2">
      <w:numFmt w:val="none"/>
      <w:lvlText w:val=""/>
      <w:lvlJc w:val="left"/>
      <w:pPr>
        <w:tabs>
          <w:tab w:val="num" w:pos="360"/>
        </w:tabs>
        <w:ind w:left="360" w:hanging="360"/>
      </w:pPr>
    </w:lvl>
    <w:lvl w:ilvl="6" w:tplc="0C521CAC">
      <w:numFmt w:val="none"/>
      <w:lvlText w:val=""/>
      <w:lvlJc w:val="left"/>
      <w:pPr>
        <w:tabs>
          <w:tab w:val="num" w:pos="360"/>
        </w:tabs>
        <w:ind w:left="360" w:hanging="360"/>
      </w:pPr>
    </w:lvl>
    <w:lvl w:ilvl="7" w:tplc="7AB84FA6">
      <w:numFmt w:val="none"/>
      <w:lvlText w:val=""/>
      <w:lvlJc w:val="left"/>
      <w:pPr>
        <w:tabs>
          <w:tab w:val="num" w:pos="360"/>
        </w:tabs>
        <w:ind w:left="360" w:hanging="360"/>
      </w:pPr>
    </w:lvl>
    <w:lvl w:ilvl="8" w:tplc="19124140">
      <w:numFmt w:val="none"/>
      <w:lvlText w:val=""/>
      <w:lvlJc w:val="left"/>
      <w:pPr>
        <w:tabs>
          <w:tab w:val="num" w:pos="360"/>
        </w:tabs>
        <w:ind w:left="360" w:hanging="360"/>
      </w:pPr>
    </w:lvl>
  </w:abstractNum>
  <w:abstractNum w:abstractNumId="4" w15:restartNumberingAfterBreak="0">
    <w:nsid w:val="68611A76"/>
    <w:multiLevelType w:val="hybridMultilevel"/>
    <w:tmpl w:val="CF32515C"/>
    <w:name w:val="Lista numerada 2"/>
    <w:lvl w:ilvl="0" w:tplc="A7B67514">
      <w:numFmt w:val="bullet"/>
      <w:lvlText w:val="-"/>
      <w:lvlJc w:val="left"/>
      <w:pPr>
        <w:ind w:left="0" w:firstLine="0"/>
      </w:pPr>
      <w:rPr>
        <w:rFonts w:ascii="Times New Roman" w:eastAsia="Times New Roman" w:hAnsi="Times New Roman" w:cs="Times New Roman"/>
      </w:rPr>
    </w:lvl>
    <w:lvl w:ilvl="1" w:tplc="0A6E9D20">
      <w:numFmt w:val="bullet"/>
      <w:lvlText w:val="o"/>
      <w:lvlJc w:val="left"/>
      <w:pPr>
        <w:ind w:left="0" w:firstLine="0"/>
      </w:pPr>
      <w:rPr>
        <w:rFonts w:ascii="Courier New" w:eastAsia="Courier New" w:hAnsi="Courier New" w:cs="Courier New"/>
      </w:rPr>
    </w:lvl>
    <w:lvl w:ilvl="2" w:tplc="74F2E80E">
      <w:numFmt w:val="bullet"/>
      <w:lvlText w:val=""/>
      <w:lvlJc w:val="left"/>
      <w:pPr>
        <w:ind w:left="0" w:firstLine="0"/>
      </w:pPr>
      <w:rPr>
        <w:rFonts w:ascii="Wingdings" w:eastAsia="Wingdings" w:hAnsi="Wingdings" w:cs="Wingdings"/>
      </w:rPr>
    </w:lvl>
    <w:lvl w:ilvl="3" w:tplc="F2787F8E">
      <w:numFmt w:val="bullet"/>
      <w:lvlText w:val=""/>
      <w:lvlJc w:val="left"/>
      <w:pPr>
        <w:ind w:left="0" w:firstLine="0"/>
      </w:pPr>
      <w:rPr>
        <w:rFonts w:ascii="Symbol" w:eastAsia="Symbol" w:hAnsi="Symbol" w:cs="Symbol"/>
      </w:rPr>
    </w:lvl>
    <w:lvl w:ilvl="4" w:tplc="10E6C3FA">
      <w:numFmt w:val="bullet"/>
      <w:lvlText w:val="o"/>
      <w:lvlJc w:val="left"/>
      <w:pPr>
        <w:ind w:left="0" w:firstLine="0"/>
      </w:pPr>
      <w:rPr>
        <w:rFonts w:ascii="Courier New" w:eastAsia="Courier New" w:hAnsi="Courier New" w:cs="Courier New"/>
      </w:rPr>
    </w:lvl>
    <w:lvl w:ilvl="5" w:tplc="FB9A07DE">
      <w:numFmt w:val="bullet"/>
      <w:lvlText w:val=""/>
      <w:lvlJc w:val="left"/>
      <w:pPr>
        <w:ind w:left="0" w:firstLine="0"/>
      </w:pPr>
      <w:rPr>
        <w:rFonts w:ascii="Wingdings" w:eastAsia="Wingdings" w:hAnsi="Wingdings" w:cs="Wingdings"/>
      </w:rPr>
    </w:lvl>
    <w:lvl w:ilvl="6" w:tplc="35E886E0">
      <w:numFmt w:val="bullet"/>
      <w:lvlText w:val=""/>
      <w:lvlJc w:val="left"/>
      <w:pPr>
        <w:ind w:left="0" w:firstLine="0"/>
      </w:pPr>
      <w:rPr>
        <w:rFonts w:ascii="Symbol" w:eastAsia="Symbol" w:hAnsi="Symbol" w:cs="Symbol"/>
      </w:rPr>
    </w:lvl>
    <w:lvl w:ilvl="7" w:tplc="DF4CEE60">
      <w:numFmt w:val="bullet"/>
      <w:lvlText w:val="o"/>
      <w:lvlJc w:val="left"/>
      <w:pPr>
        <w:ind w:left="0" w:firstLine="0"/>
      </w:pPr>
      <w:rPr>
        <w:rFonts w:ascii="Courier New" w:eastAsia="Courier New" w:hAnsi="Courier New" w:cs="Courier New"/>
      </w:rPr>
    </w:lvl>
    <w:lvl w:ilvl="8" w:tplc="7BD8A060">
      <w:numFmt w:val="bullet"/>
      <w:lvlText w:val=""/>
      <w:lvlJc w:val="left"/>
      <w:pPr>
        <w:ind w:left="0" w:firstLine="0"/>
      </w:pPr>
      <w:rPr>
        <w:rFonts w:ascii="Wingdings" w:eastAsia="Wingdings" w:hAnsi="Wingdings" w:cs="Wingdings"/>
      </w:rPr>
    </w:lvl>
  </w:abstractNum>
  <w:abstractNum w:abstractNumId="5" w15:restartNumberingAfterBreak="0">
    <w:nsid w:val="7A6E28F7"/>
    <w:multiLevelType w:val="hybridMultilevel"/>
    <w:tmpl w:val="A2702252"/>
    <w:name w:val="Lista numerada 3"/>
    <w:lvl w:ilvl="0" w:tplc="FFE8EF0E">
      <w:numFmt w:val="bullet"/>
      <w:lvlText w:val="-"/>
      <w:lvlJc w:val="left"/>
      <w:pPr>
        <w:ind w:left="0" w:firstLine="0"/>
      </w:pPr>
      <w:rPr>
        <w:rFonts w:ascii="Times New Roman" w:eastAsia="Times New Roman" w:hAnsi="Times New Roman" w:cs="Times New Roman"/>
      </w:rPr>
    </w:lvl>
    <w:lvl w:ilvl="1" w:tplc="9B92D596">
      <w:numFmt w:val="bullet"/>
      <w:lvlText w:val="o"/>
      <w:lvlJc w:val="left"/>
      <w:pPr>
        <w:ind w:left="0" w:firstLine="0"/>
      </w:pPr>
      <w:rPr>
        <w:rFonts w:ascii="Courier New" w:eastAsia="Courier New" w:hAnsi="Courier New" w:cs="Courier New"/>
      </w:rPr>
    </w:lvl>
    <w:lvl w:ilvl="2" w:tplc="769EE92A">
      <w:numFmt w:val="bullet"/>
      <w:lvlText w:val=""/>
      <w:lvlJc w:val="left"/>
      <w:pPr>
        <w:ind w:left="0" w:firstLine="0"/>
      </w:pPr>
      <w:rPr>
        <w:rFonts w:ascii="Wingdings" w:eastAsia="Wingdings" w:hAnsi="Wingdings" w:cs="Wingdings"/>
      </w:rPr>
    </w:lvl>
    <w:lvl w:ilvl="3" w:tplc="73201608">
      <w:numFmt w:val="bullet"/>
      <w:lvlText w:val=""/>
      <w:lvlJc w:val="left"/>
      <w:pPr>
        <w:ind w:left="0" w:firstLine="0"/>
      </w:pPr>
      <w:rPr>
        <w:rFonts w:ascii="Symbol" w:eastAsia="Symbol" w:hAnsi="Symbol" w:cs="Symbol"/>
      </w:rPr>
    </w:lvl>
    <w:lvl w:ilvl="4" w:tplc="A9B4D8AC">
      <w:numFmt w:val="bullet"/>
      <w:lvlText w:val="o"/>
      <w:lvlJc w:val="left"/>
      <w:pPr>
        <w:ind w:left="0" w:firstLine="0"/>
      </w:pPr>
      <w:rPr>
        <w:rFonts w:ascii="Courier New" w:eastAsia="Courier New" w:hAnsi="Courier New" w:cs="Courier New"/>
      </w:rPr>
    </w:lvl>
    <w:lvl w:ilvl="5" w:tplc="DE9A73C0">
      <w:numFmt w:val="bullet"/>
      <w:lvlText w:val=""/>
      <w:lvlJc w:val="left"/>
      <w:pPr>
        <w:ind w:left="0" w:firstLine="0"/>
      </w:pPr>
      <w:rPr>
        <w:rFonts w:ascii="Wingdings" w:eastAsia="Wingdings" w:hAnsi="Wingdings" w:cs="Wingdings"/>
      </w:rPr>
    </w:lvl>
    <w:lvl w:ilvl="6" w:tplc="FDD0BA7C">
      <w:numFmt w:val="bullet"/>
      <w:lvlText w:val=""/>
      <w:lvlJc w:val="left"/>
      <w:pPr>
        <w:ind w:left="0" w:firstLine="0"/>
      </w:pPr>
      <w:rPr>
        <w:rFonts w:ascii="Symbol" w:eastAsia="Symbol" w:hAnsi="Symbol" w:cs="Symbol"/>
      </w:rPr>
    </w:lvl>
    <w:lvl w:ilvl="7" w:tplc="D10AEC68">
      <w:numFmt w:val="bullet"/>
      <w:lvlText w:val="o"/>
      <w:lvlJc w:val="left"/>
      <w:pPr>
        <w:ind w:left="0" w:firstLine="0"/>
      </w:pPr>
      <w:rPr>
        <w:rFonts w:ascii="Courier New" w:eastAsia="Courier New" w:hAnsi="Courier New" w:cs="Courier New"/>
      </w:rPr>
    </w:lvl>
    <w:lvl w:ilvl="8" w:tplc="FE188380">
      <w:numFmt w:val="bullet"/>
      <w:lvlText w:val=""/>
      <w:lvlJc w:val="left"/>
      <w:pPr>
        <w:ind w:left="0" w:firstLine="0"/>
      </w:pPr>
      <w:rPr>
        <w:rFonts w:ascii="Wingdings" w:eastAsia="Wingdings" w:hAnsi="Wingdings" w:cs="Wingdings"/>
      </w:rPr>
    </w:lvl>
  </w:abstractNum>
  <w:num w:numId="1" w16cid:durableId="531768597">
    <w:abstractNumId w:val="2"/>
  </w:num>
  <w:num w:numId="2" w16cid:durableId="995643558">
    <w:abstractNumId w:val="4"/>
  </w:num>
  <w:num w:numId="3" w16cid:durableId="646010151">
    <w:abstractNumId w:val="5"/>
  </w:num>
  <w:num w:numId="4" w16cid:durableId="1360742471">
    <w:abstractNumId w:val="0"/>
  </w:num>
  <w:num w:numId="5" w16cid:durableId="1349942627">
    <w:abstractNumId w:val="1"/>
  </w:num>
  <w:num w:numId="6" w16cid:durableId="18426981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283"/>
  <w:drawingGridVerticalSpacing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902"/>
    <w:rsid w:val="0025453E"/>
    <w:rsid w:val="002E1843"/>
    <w:rsid w:val="0041557D"/>
    <w:rsid w:val="0045136D"/>
    <w:rsid w:val="0068150F"/>
    <w:rsid w:val="008C3902"/>
    <w:rsid w:val="00C06835"/>
  </w:rsids>
  <m:mathPr>
    <m:mathFont m:val="Cambria Math"/>
    <m:brkBin m:val="before"/>
    <m:brkBinSub m:val="--"/>
    <m:smallFrac m:val="0"/>
    <m:dispDef/>
    <m:lMargin m:val="0"/>
    <m:rMargin m:val="0"/>
    <m:defJc m:val="centerGroup"/>
    <m:wrapIndent m:val="1440"/>
    <m:intLim m:val="subSup"/>
    <m:naryLim m:val="undOvr"/>
  </m:mathPr>
  <w:themeFontLang w:val="eu-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C7187"/>
  <w15:docId w15:val="{50B8F435-B38A-4156-8980-101D17568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noProof/>
        <w:lang w:val="eu-ES" w:eastAsia="eu-ES"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noProof w:val="0"/>
      <w:lang w:val="es-ES_tradnl" w:eastAsia="es-ES" w:bidi="or-IN"/>
    </w:rPr>
  </w:style>
  <w:style w:type="paragraph" w:styleId="Ttulo1">
    <w:name w:val="heading 1"/>
    <w:basedOn w:val="Normal"/>
    <w:next w:val="Normal"/>
    <w:qFormat/>
    <w:pPr>
      <w:keepNext/>
      <w:spacing w:before="240" w:after="480"/>
      <w:jc w:val="center"/>
      <w:outlineLvl w:val="0"/>
    </w:pPr>
    <w:rPr>
      <w:rFonts w:ascii="Arial" w:hAnsi="Arial"/>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qFormat/>
    <w:rPr>
      <w:rFonts w:cs="Arial"/>
      <w:lang w:val="es-ES_tradnl" w:eastAsia="es-ES" w:bidi="or-IN"/>
    </w:rPr>
  </w:style>
  <w:style w:type="paragraph" w:styleId="Prrafodelista">
    <w:name w:val="List Paragraph"/>
    <w:basedOn w:val="Normal"/>
    <w:qFormat/>
    <w:pPr>
      <w:ind w:left="720"/>
      <w:contextualSpacing/>
    </w:pPr>
  </w:style>
  <w:style w:type="paragraph" w:styleId="Encabezado">
    <w:name w:val="header"/>
    <w:basedOn w:val="Normal"/>
    <w:qFormat/>
    <w:pPr>
      <w:tabs>
        <w:tab w:val="center" w:pos="4252"/>
        <w:tab w:val="right" w:pos="8504"/>
      </w:tabs>
    </w:pPr>
    <w:rPr>
      <w:rFonts w:cs="Times New Roman"/>
      <w:sz w:val="22"/>
      <w:szCs w:val="22"/>
      <w:lang w:val="es-ES" w:bidi="ar-SA"/>
    </w:rPr>
  </w:style>
  <w:style w:type="paragraph" w:styleId="Piedepgina">
    <w:name w:val="footer"/>
    <w:basedOn w:val="Normal"/>
    <w:qFormat/>
    <w:pPr>
      <w:tabs>
        <w:tab w:val="center" w:pos="4252"/>
        <w:tab w:val="right" w:pos="8504"/>
      </w:tabs>
    </w:pPr>
    <w:rPr>
      <w:rFonts w:cs="Times New Roman"/>
      <w:sz w:val="22"/>
      <w:szCs w:val="22"/>
      <w:lang w:val="es-ES" w:bidi="ar-SA"/>
    </w:rPr>
  </w:style>
  <w:style w:type="paragraph" w:styleId="Textodeglobo">
    <w:name w:val="Balloon Text"/>
    <w:basedOn w:val="Normal"/>
    <w:qFormat/>
    <w:rPr>
      <w:rFonts w:cs="Times New Roman"/>
      <w:sz w:val="16"/>
      <w:szCs w:val="16"/>
      <w:lang w:val="es-ES" w:bidi="ar-SA"/>
    </w:rPr>
  </w:style>
  <w:style w:type="paragraph" w:customStyle="1" w:styleId="txtprincipal">
    <w:name w:val="txtprincipal"/>
    <w:basedOn w:val="Normal"/>
    <w:qFormat/>
    <w:pPr>
      <w:spacing w:before="100" w:beforeAutospacing="1" w:after="100" w:afterAutospacing="1"/>
    </w:pPr>
    <w:rPr>
      <w:rFonts w:cs="Times New Roman"/>
      <w:sz w:val="24"/>
      <w:szCs w:val="24"/>
      <w:lang w:val="es-ES" w:bidi="ar-SA"/>
    </w:rPr>
  </w:style>
  <w:style w:type="character" w:customStyle="1" w:styleId="Ttulo1Car">
    <w:name w:val="Título 1 Car"/>
    <w:rPr>
      <w:rFonts w:ascii="Arial" w:eastAsia="Times New Roman" w:hAnsi="Arial" w:cs="Arial"/>
      <w:b/>
      <w:lang w:val="es-ES_tradnl" w:bidi="or-IN"/>
    </w:rPr>
  </w:style>
  <w:style w:type="character" w:customStyle="1" w:styleId="EncabezadoCar">
    <w:name w:val="Encabezado Car"/>
    <w:rPr>
      <w:rFonts w:cs="Times New Roman"/>
    </w:rPr>
  </w:style>
  <w:style w:type="character" w:customStyle="1" w:styleId="PiedepginaCar">
    <w:name w:val="Pie de página Car"/>
    <w:rPr>
      <w:rFonts w:cs="Times New Roman"/>
    </w:rPr>
  </w:style>
  <w:style w:type="character" w:customStyle="1" w:styleId="TextodegloboCar">
    <w:name w:val="Texto de globo Car"/>
    <w:rPr>
      <w:rFonts w:ascii="Times New Roman" w:hAnsi="Times New Roman" w:cs="Times New Roman"/>
      <w:sz w:val="16"/>
      <w:szCs w:val="16"/>
    </w:rPr>
  </w:style>
  <w:style w:type="character" w:customStyle="1" w:styleId="tw4winMark">
    <w:name w:val="tw4winMark"/>
    <w:rPr>
      <w:rFonts w:ascii="Courier New" w:hAnsi="Courier New"/>
      <w:vanish/>
      <w:color w:val="7F007F"/>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7F00"/>
    </w:rPr>
  </w:style>
  <w:style w:type="character" w:customStyle="1" w:styleId="tw4winJump">
    <w:name w:val="tw4winJump"/>
    <w:rPr>
      <w:rFonts w:ascii="Courier New" w:hAnsi="Courier New"/>
      <w:noProof/>
      <w:color w:val="007F7F"/>
    </w:rPr>
  </w:style>
  <w:style w:type="character" w:customStyle="1" w:styleId="tw4winExternal">
    <w:name w:val="tw4winExternal"/>
    <w:rPr>
      <w:rFonts w:ascii="Courier New" w:hAnsi="Courier New"/>
      <w:noProof/>
      <w:color w:val="7F7F7F"/>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7F0000"/>
    </w:rPr>
  </w:style>
  <w:style w:type="table" w:customStyle="1" w:styleId="Tablanormal1">
    <w:name w:val="Tabla normal1"/>
    <w:uiPriority w:val="99"/>
    <w:semiHidden/>
    <w:unhideWhenUsed/>
    <w:tblPr>
      <w:tblStyleRowBandSize w:val="1"/>
      <w:tblStyleColBandSize w:val="1"/>
      <w:tblInd w:w="0" w:type="dxa"/>
      <w:tblCellMar>
        <w:top w:w="0" w:type="dxa"/>
        <w:left w:w="108" w:type="dxa"/>
        <w:bottom w:w="0" w:type="dxa"/>
        <w:right w:w="108" w:type="dxa"/>
      </w:tblCellMar>
    </w:tblPr>
  </w:style>
  <w:style w:type="character" w:styleId="Hipervnculo">
    <w:name w:val="Hyperlink"/>
    <w:basedOn w:val="Fuentedeprrafopredeter"/>
    <w:uiPriority w:val="99"/>
    <w:rsid w:val="0041557D"/>
    <w:rPr>
      <w:color w:val="0000FF" w:themeColor="hyperlink"/>
      <w:u w:val="single"/>
    </w:rPr>
  </w:style>
  <w:style w:type="character" w:styleId="Mencinsinresolver">
    <w:name w:val="Unresolved Mention"/>
    <w:basedOn w:val="Fuentedeprrafopredeter"/>
    <w:uiPriority w:val="99"/>
    <w:semiHidden/>
    <w:unhideWhenUsed/>
    <w:rsid w:val="004155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rekia-arabamobilitylab.araba.eus/eu/-/estatuto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Times New Roman"/>
        <a:cs typeface="Arial"/>
      </a:majorFont>
      <a:minorFont>
        <a:latin typeface="Times New Roman"/>
        <a:ea typeface="Times New Roman"/>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812</Words>
  <Characters>4468</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ERABAKIA</vt:lpstr>
    </vt:vector>
  </TitlesOfParts>
  <Company/>
  <LinksUpToDate>false</LinksUpToDate>
  <CharactersWithSpaces>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ERABAKIA</dc:title>
  <dc:subject/>
  <dc:creator>López de Heredia López de Vicuña, Elena</dc:creator>
  <cp:keywords/>
  <dc:description/>
  <cp:lastModifiedBy>Arias Lopez de Lacalle, Arrate</cp:lastModifiedBy>
  <cp:revision>3</cp:revision>
  <dcterms:created xsi:type="dcterms:W3CDTF">2023-09-06T11:48:00Z</dcterms:created>
  <dcterms:modified xsi:type="dcterms:W3CDTF">2023-09-06T12:49:00Z</dcterms:modified>
</cp:coreProperties>
</file>